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 полностью или в части.</w:t>
      </w:r>
    </w:p>
    <w:p w:rsidR="006B6718" w:rsidRDefault="006B6718" w:rsidP="006B6718">
      <w:r>
        <w:t>Убытки залогодержателя, связанные с недостаточностью денежных средств, вырученных от реализации заложенного имущества, либо с недостаточной стоимостью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 этом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действия договора страхования ответственности заемщика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10. При отказе страхователя от договора страхования ответственности заемщика или договора страхования финансового риска кредитора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4F6369"/>
    <w:rsid w:val="006637A8"/>
    <w:rsid w:val="006B6718"/>
    <w:rsid w:val="00765666"/>
    <w:rsid w:val="007E47C7"/>
    <w:rsid w:val="009A56AE"/>
    <w:rsid w:val="00CF6A9C"/>
    <w:rsid w:val="00FE3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2020-01-31T10:52:00Z</dcterms:created>
  <dcterms:modified xsi:type="dcterms:W3CDTF">2020-01-31T10:52:00Z</dcterms:modified>
</cp:coreProperties>
</file>